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2DED3" w14:textId="353B374D" w:rsidR="00082BD7" w:rsidRPr="00082BD7" w:rsidRDefault="00082BD7" w:rsidP="00082BD7">
      <w:pPr>
        <w:jc w:val="both"/>
        <w:rPr>
          <w:b/>
          <w:bCs/>
        </w:rPr>
      </w:pPr>
      <w:r w:rsidRPr="00082BD7">
        <w:rPr>
          <w:b/>
          <w:bCs/>
        </w:rPr>
        <w:t>RECURSO DE REPOSICIÓN CONTRA LIQUIDACIÓN DE LA “TASA DE RESIDUOS” O “TASA DE BASURAS”</w:t>
      </w:r>
    </w:p>
    <w:p w14:paraId="6EBAE744" w14:textId="77777777" w:rsidR="00082BD7" w:rsidRPr="00082BD7" w:rsidRDefault="00082BD7" w:rsidP="00082BD7">
      <w:pPr>
        <w:jc w:val="both"/>
        <w:rPr>
          <w:b/>
          <w:bCs/>
        </w:rPr>
      </w:pPr>
    </w:p>
    <w:p w14:paraId="134718C4" w14:textId="5B50866D" w:rsidR="00082BD7" w:rsidRPr="00082BD7" w:rsidRDefault="00082BD7" w:rsidP="00082BD7">
      <w:pPr>
        <w:jc w:val="both"/>
      </w:pPr>
      <w:r w:rsidRPr="00082BD7">
        <w:t xml:space="preserve">AL AYUNTAMIENTO DE </w:t>
      </w:r>
      <w:r w:rsidR="00E16F35">
        <w:rPr>
          <w:b/>
          <w:bCs/>
        </w:rPr>
        <w:t>TRES CANTOS</w:t>
      </w:r>
    </w:p>
    <w:p w14:paraId="298DC164" w14:textId="77777777" w:rsidR="00082BD7" w:rsidRPr="00082BD7" w:rsidRDefault="00082BD7" w:rsidP="00082BD7">
      <w:pPr>
        <w:jc w:val="both"/>
      </w:pPr>
    </w:p>
    <w:p w14:paraId="3E40D6EB" w14:textId="77777777" w:rsidR="00082BD7" w:rsidRPr="00082BD7" w:rsidRDefault="00082BD7" w:rsidP="00082BD7">
      <w:pPr>
        <w:jc w:val="both"/>
      </w:pPr>
      <w:r w:rsidRPr="00082BD7">
        <w:t>D./</w:t>
      </w:r>
      <w:proofErr w:type="gramStart"/>
      <w:r w:rsidRPr="00082BD7">
        <w:t>D.ª</w:t>
      </w:r>
      <w:proofErr w:type="gramEnd"/>
      <w:r w:rsidRPr="00082BD7">
        <w:t xml:space="preserve"> </w:t>
      </w:r>
      <w:r w:rsidRPr="00A03B42">
        <w:rPr>
          <w:b/>
          <w:bCs/>
        </w:rPr>
        <w:t>[NOMBRE Y APELLIDOS]</w:t>
      </w:r>
      <w:r w:rsidRPr="00082BD7">
        <w:t xml:space="preserve">, mayor de edad, con DNI </w:t>
      </w:r>
      <w:r w:rsidRPr="00A03B42">
        <w:rPr>
          <w:b/>
          <w:bCs/>
        </w:rPr>
        <w:t>[NÚMERO]</w:t>
      </w:r>
      <w:r w:rsidRPr="00082BD7">
        <w:t xml:space="preserve">, y domicilio a efectos de notificaciones en </w:t>
      </w:r>
      <w:r w:rsidRPr="00A03B42">
        <w:rPr>
          <w:b/>
          <w:bCs/>
        </w:rPr>
        <w:t>[DOMICILIO]</w:t>
      </w:r>
      <w:r w:rsidRPr="00082BD7">
        <w:t xml:space="preserve">, en nombre propio </w:t>
      </w:r>
      <w:r w:rsidRPr="00A03B42">
        <w:rPr>
          <w:b/>
          <w:bCs/>
        </w:rPr>
        <w:t>[o en representación de D./</w:t>
      </w:r>
      <w:proofErr w:type="gramStart"/>
      <w:r w:rsidRPr="00A03B42">
        <w:rPr>
          <w:b/>
          <w:bCs/>
        </w:rPr>
        <w:t>D.ª</w:t>
      </w:r>
      <w:proofErr w:type="gramEnd"/>
      <w:r w:rsidRPr="00A03B42">
        <w:rPr>
          <w:b/>
          <w:bCs/>
        </w:rPr>
        <w:t xml:space="preserve"> / de la entidad [NOMBRE], según poder que se acompaña]</w:t>
      </w:r>
      <w:r w:rsidRPr="00082BD7">
        <w:t xml:space="preserve">, y con NIF </w:t>
      </w:r>
      <w:r w:rsidRPr="00A03B42">
        <w:rPr>
          <w:b/>
          <w:bCs/>
        </w:rPr>
        <w:t>[NÚMERO]</w:t>
      </w:r>
      <w:r w:rsidRPr="00082BD7">
        <w:t>, comparece y como mejor proceda en Derecho</w:t>
      </w:r>
    </w:p>
    <w:p w14:paraId="08BD47DC" w14:textId="77777777" w:rsidR="00082BD7" w:rsidRPr="00082BD7" w:rsidRDefault="00082BD7" w:rsidP="00082BD7">
      <w:pPr>
        <w:jc w:val="center"/>
        <w:rPr>
          <w:b/>
          <w:bCs/>
        </w:rPr>
      </w:pPr>
      <w:r w:rsidRPr="00082BD7">
        <w:rPr>
          <w:b/>
          <w:bCs/>
        </w:rPr>
        <w:t>EXPONE</w:t>
      </w:r>
    </w:p>
    <w:p w14:paraId="5533F7B1" w14:textId="723A571F" w:rsidR="00082BD7" w:rsidRDefault="00082BD7" w:rsidP="00082BD7">
      <w:pPr>
        <w:jc w:val="both"/>
      </w:pPr>
      <w:r w:rsidRPr="00082BD7">
        <w:t xml:space="preserve">Primero. Que le ha sido notificada la liquidación núm. </w:t>
      </w:r>
      <w:r w:rsidRPr="00F60DC0">
        <w:rPr>
          <w:b/>
          <w:bCs/>
        </w:rPr>
        <w:t xml:space="preserve">[NÚMERO </w:t>
      </w:r>
      <w:r w:rsidR="00DD3FB0">
        <w:rPr>
          <w:b/>
          <w:bCs/>
        </w:rPr>
        <w:t>REFERENCIA</w:t>
      </w:r>
      <w:r w:rsidRPr="00F60DC0">
        <w:rPr>
          <w:b/>
          <w:bCs/>
        </w:rPr>
        <w:t>]</w:t>
      </w:r>
      <w:r w:rsidRPr="00082BD7">
        <w:t xml:space="preserve">, correspondiente a la “tasa por prestación del servicio de recogida, transporte y tratamiento de residuos urbanos” del ejercicio </w:t>
      </w:r>
      <w:r w:rsidR="00DD3FB0">
        <w:rPr>
          <w:b/>
          <w:bCs/>
        </w:rPr>
        <w:t xml:space="preserve">2025 </w:t>
      </w:r>
      <w:r w:rsidRPr="00082BD7">
        <w:t xml:space="preserve">por importe de </w:t>
      </w:r>
      <w:r w:rsidRPr="00F60DC0">
        <w:rPr>
          <w:b/>
          <w:bCs/>
        </w:rPr>
        <w:t>[IMPORTE]</w:t>
      </w:r>
      <w:r w:rsidRPr="00082BD7">
        <w:t xml:space="preserve"> euros, girada por ese Ayuntamiento con fundamento en la </w:t>
      </w:r>
      <w:r w:rsidR="00DD3FB0" w:rsidRPr="00DD3FB0">
        <w:rPr>
          <w:b/>
          <w:bCs/>
        </w:rPr>
        <w:t>ORDENANZA FISCAL REGULADORA DE LA TASA POR EL SERVICIO DE RECOGIDA Y TRATAMIENTO DE RESIDUOS URBANOS</w:t>
      </w:r>
      <w:r w:rsidR="00DD3FB0">
        <w:t xml:space="preserve"> </w:t>
      </w:r>
      <w:r w:rsidRPr="00F94FA6">
        <w:rPr>
          <w:b/>
          <w:bCs/>
        </w:rPr>
        <w:t>[</w:t>
      </w:r>
      <w:r w:rsidR="00DD3FB0">
        <w:rPr>
          <w:b/>
          <w:bCs/>
        </w:rPr>
        <w:t xml:space="preserve">B.O.C.M. </w:t>
      </w:r>
      <w:proofErr w:type="spellStart"/>
      <w:r w:rsidR="00DD3FB0">
        <w:rPr>
          <w:b/>
          <w:bCs/>
        </w:rPr>
        <w:t>Nº</w:t>
      </w:r>
      <w:proofErr w:type="spellEnd"/>
      <w:r w:rsidR="00DD3FB0">
        <w:rPr>
          <w:b/>
          <w:bCs/>
        </w:rPr>
        <w:t xml:space="preserve"> 310 de 2024 – 30 de diciembre 2024</w:t>
      </w:r>
      <w:r w:rsidRPr="00F94FA6">
        <w:rPr>
          <w:b/>
          <w:bCs/>
        </w:rPr>
        <w:t xml:space="preserve">] </w:t>
      </w:r>
      <w:r w:rsidRPr="00082BD7">
        <w:t>reguladora de la referida tasa.</w:t>
      </w:r>
    </w:p>
    <w:p w14:paraId="50AA6524" w14:textId="1F49EDF3" w:rsidR="00015BF8" w:rsidRPr="00B41869" w:rsidRDefault="00015BF8" w:rsidP="00015BF8">
      <w:pPr>
        <w:jc w:val="both"/>
      </w:pPr>
      <w:r w:rsidRPr="00105CA3">
        <w:t>Segundo.</w:t>
      </w:r>
      <w:r>
        <w:t xml:space="preserve"> Que </w:t>
      </w:r>
      <w:r w:rsidRPr="00B41869">
        <w:t xml:space="preserve">con fecha </w:t>
      </w:r>
      <w:r w:rsidRPr="00F94FA6">
        <w:rPr>
          <w:b/>
          <w:bCs/>
        </w:rPr>
        <w:t>[FECHA DE PAGO]</w:t>
      </w:r>
      <w:r w:rsidRPr="00B41869">
        <w:t xml:space="preserve">, mediante </w:t>
      </w:r>
      <w:r w:rsidRPr="00F94FA6">
        <w:rPr>
          <w:b/>
          <w:bCs/>
        </w:rPr>
        <w:t>[indicar medio]</w:t>
      </w:r>
      <w:r w:rsidRPr="00B41869">
        <w:t>,</w:t>
      </w:r>
      <w:r>
        <w:t xml:space="preserve"> realicé </w:t>
      </w:r>
      <w:r w:rsidRPr="00D570A5">
        <w:t xml:space="preserve">el pago íntegro de la liquidación </w:t>
      </w:r>
      <w:r w:rsidRPr="00B41869">
        <w:t xml:space="preserve">por importe de </w:t>
      </w:r>
      <w:r w:rsidRPr="00F94FA6">
        <w:rPr>
          <w:b/>
          <w:bCs/>
        </w:rPr>
        <w:t>[€]</w:t>
      </w:r>
      <w:r w:rsidRPr="00B41869">
        <w:t>, cuyo justificante se adjunta</w:t>
      </w:r>
      <w:r w:rsidR="00DB6995">
        <w:t>.</w:t>
      </w:r>
    </w:p>
    <w:p w14:paraId="5E108186" w14:textId="42FE06CA" w:rsidR="009142FD" w:rsidRDefault="00015BF8" w:rsidP="009142FD">
      <w:pPr>
        <w:jc w:val="both"/>
      </w:pPr>
      <w:r>
        <w:t>Tercero</w:t>
      </w:r>
      <w:r w:rsidR="00082BD7" w:rsidRPr="00082BD7">
        <w:t>.</w:t>
      </w:r>
      <w:r w:rsidR="00082BD7">
        <w:t xml:space="preserve"> </w:t>
      </w:r>
      <w:r w:rsidR="00082BD7" w:rsidRPr="00082BD7">
        <w:t xml:space="preserve">Que, por medio del presente escrito, y dentro del plazo de un mes desde su notificación, interpone </w:t>
      </w:r>
      <w:r w:rsidR="009142FD" w:rsidRPr="00082BD7">
        <w:rPr>
          <w:b/>
          <w:bCs/>
        </w:rPr>
        <w:t>RECURSO DE REPOSICIÓN</w:t>
      </w:r>
      <w:r w:rsidR="009142FD">
        <w:t xml:space="preserve"> </w:t>
      </w:r>
      <w:r w:rsidR="00082BD7" w:rsidRPr="00082BD7">
        <w:t>contra la referida liquidación, de conformidad con los artículos 123 y 124 de la Ley 39/2015, de 1 de octubre, del Procedimiento Administrativo Común, en relación —según resulte de aplicación— con el artículo 14 del Texto Refundido de la Ley Reguladora de las Haciendas Locales (TRLRHL, Real Decreto Legislativo 2/2004) y la Ley 58/2003, General Tributaria</w:t>
      </w:r>
      <w:r w:rsidR="009142FD">
        <w:t>,</w:t>
      </w:r>
      <w:r w:rsidR="009142FD" w:rsidRPr="009142FD">
        <w:t xml:space="preserve"> </w:t>
      </w:r>
      <w:r w:rsidR="009142FD">
        <w:t xml:space="preserve">interesando la devolución de ingresos indebidos (arts.  221 y 31 LGT) con sus intereses de demora (art.  32 LGT), por no ser la liquidación objeto de recurso conforme a Derecho y lesionar mis intereses legítimos, en base a los siguientes </w:t>
      </w:r>
    </w:p>
    <w:p w14:paraId="700884E6" w14:textId="77777777" w:rsidR="00082BD7" w:rsidRPr="00082BD7" w:rsidRDefault="00082BD7" w:rsidP="009142FD">
      <w:pPr>
        <w:jc w:val="center"/>
        <w:rPr>
          <w:b/>
          <w:bCs/>
        </w:rPr>
      </w:pPr>
      <w:r w:rsidRPr="00082BD7">
        <w:rPr>
          <w:b/>
          <w:bCs/>
        </w:rPr>
        <w:t>HECHOS</w:t>
      </w:r>
    </w:p>
    <w:p w14:paraId="3E8FB8C4" w14:textId="77777777" w:rsidR="00082BD7" w:rsidRPr="00082BD7" w:rsidRDefault="00082BD7" w:rsidP="00082BD7">
      <w:pPr>
        <w:jc w:val="both"/>
      </w:pPr>
      <w:r w:rsidRPr="00082BD7">
        <w:t xml:space="preserve">1.— La metodología de cálculo aplicada por la Ordenanza municipal no refleja el coste real ni previsible del servicio individualmente prestado y adopta criterios ajenos a la efectiva generación de residuos por cada usuario. En particular, la cuantía liquidada deriva de fórmulas que, bien a) imponen una cuota fija igual para todos los sujetos pasivos, o bien b) toman como magnitud relevante el valor catastral del inmueble, o bien c) incorporan coeficientes agregados por distrito o barrio (por “generación de residuos” zonal y/o por “calidad de separación” media), que no guardan relación directa con la </w:t>
      </w:r>
      <w:r w:rsidRPr="00082BD7">
        <w:lastRenderedPageBreak/>
        <w:t xml:space="preserve">conducta o aportación de residuos del obligado, y que además mezclan residuos de origen no estrictamente doméstico (pisos turísticos, comercio y hostelería con recogida conjunta), distorsionando el reparto. </w:t>
      </w:r>
    </w:p>
    <w:p w14:paraId="2AB00355" w14:textId="77777777" w:rsidR="00082BD7" w:rsidRPr="00082BD7" w:rsidRDefault="00082BD7" w:rsidP="00082BD7">
      <w:pPr>
        <w:jc w:val="both"/>
      </w:pPr>
    </w:p>
    <w:p w14:paraId="3D7C9C56" w14:textId="1B943290" w:rsidR="00082BD7" w:rsidRPr="00082BD7" w:rsidRDefault="00082BD7" w:rsidP="00082BD7">
      <w:pPr>
        <w:jc w:val="both"/>
      </w:pPr>
      <w:r w:rsidRPr="00082BD7">
        <w:t>2. No consta una memoria o informe técnico</w:t>
      </w:r>
      <w:r w:rsidRPr="00082BD7">
        <w:noBreakHyphen/>
        <w:t>económico suficiente, transparente y verificable que justifique, con datos actualizados y trazables, la estructura de costes del servicio (infraestructura, recogida, transporte y tratamiento), su imputación a categorías homogéneas de usuarios y la traslación proporcionada a las tarifas. En su defecto, no puede afirmarse que la suma de las cuotas no exceda del coste real o previsible ni que exista correlación entre cuantía exigida y coste del servicio efectivamente prestado al contribuyente.</w:t>
      </w:r>
    </w:p>
    <w:p w14:paraId="6D71D3B5" w14:textId="41FAB8CC" w:rsidR="00082BD7" w:rsidRPr="00082BD7" w:rsidRDefault="00082BD7" w:rsidP="00082BD7">
      <w:pPr>
        <w:jc w:val="both"/>
      </w:pPr>
      <w:r w:rsidRPr="00082BD7">
        <w:t>3.</w:t>
      </w:r>
      <w:r w:rsidR="009142FD">
        <w:t xml:space="preserve"> </w:t>
      </w:r>
      <w:r w:rsidRPr="00082BD7">
        <w:t xml:space="preserve">La configuración actual genera resultados notoriamente desproporcionados y discriminatorios, con fuertes diferencias intraurbanas no vinculadas al comportamiento individual, y que penalizan a residentes en áreas con mayor actividad turística o comercial, trasladándoles costes de residuos que no han generado. El factor “calidad de separación” aplicado a nivel distrital, además, se ha revelado como un multiplicador que incrementa de forma generalizada la carga, sin permitir al contribuyente modificar su conducta individual para reducir la tasa. </w:t>
      </w:r>
    </w:p>
    <w:p w14:paraId="4E42DC41" w14:textId="4A90442C" w:rsidR="00082BD7" w:rsidRPr="00082BD7" w:rsidRDefault="00082BD7" w:rsidP="00082BD7">
      <w:pPr>
        <w:jc w:val="both"/>
      </w:pPr>
      <w:r w:rsidRPr="00082BD7">
        <w:t>4. La liquidación recurrida carece de motivación suficiente sobre los elementos esenciales de cuantificación aplicados al caso concreto (tramos, coeficientes, parámetros y fuentes de los datos), impidiendo el control del ciudadano y su derecho de defensa.</w:t>
      </w:r>
    </w:p>
    <w:p w14:paraId="41821579" w14:textId="77777777" w:rsidR="00082BD7" w:rsidRPr="00082BD7" w:rsidRDefault="00082BD7" w:rsidP="00082BD7">
      <w:pPr>
        <w:jc w:val="center"/>
        <w:rPr>
          <w:b/>
          <w:bCs/>
        </w:rPr>
      </w:pPr>
      <w:r w:rsidRPr="00082BD7">
        <w:rPr>
          <w:b/>
          <w:bCs/>
        </w:rPr>
        <w:t>FUNDAMENTOS DE DERECHO</w:t>
      </w:r>
    </w:p>
    <w:p w14:paraId="33D8FE32" w14:textId="2750EE41" w:rsidR="00082BD7" w:rsidRPr="00082BD7" w:rsidRDefault="009142FD" w:rsidP="00082BD7">
      <w:pPr>
        <w:jc w:val="both"/>
      </w:pPr>
      <w:r>
        <w:t>I</w:t>
      </w:r>
      <w:r w:rsidR="00082BD7" w:rsidRPr="00082BD7">
        <w:t>. Régimen jurídico y competencia. El recurso se interpone conforme a los artículos 123 y 124 de la Ley 39/2015 y, en el ámbito tributario local, a lo dispuesto en el artículo 14 TRLRHL y la Ley 58/2003, contra acto de gestión recaudatoria de naturaleza tributaria.</w:t>
      </w:r>
    </w:p>
    <w:p w14:paraId="5DD44729" w14:textId="66D0F267" w:rsidR="00082BD7" w:rsidRPr="00082BD7" w:rsidRDefault="00082BD7" w:rsidP="00082BD7">
      <w:pPr>
        <w:jc w:val="both"/>
      </w:pPr>
      <w:r w:rsidRPr="00082BD7">
        <w:t xml:space="preserve">II. Principio “quien contamina paga” y exigencia de correlación con el coste del servicio. La Directiva (UE) 2018/851, de 30 de mayo, que modifica la Directiva 2008/98/CE sobre residuos, establece que, de acuerdo con el principio de que quien contamina paga, los costes de gestión de residuos —incluida la infraestructura y su funcionamiento— deben imputarse al productor inicial de los residuos o poseedores, y que las contribuciones no excedan de los costes necesarios, fijados con transparencia entre los agentes afectados (artículo 14 y artículo 8 bis.4, letra c). </w:t>
      </w:r>
    </w:p>
    <w:p w14:paraId="20B47924" w14:textId="77777777" w:rsidR="00082BD7" w:rsidRPr="00082BD7" w:rsidRDefault="00082BD7" w:rsidP="00082BD7">
      <w:pPr>
        <w:jc w:val="both"/>
      </w:pPr>
      <w:r w:rsidRPr="00082BD7">
        <w:t xml:space="preserve">La transposición interna se ha efectuado mediante la Ley 7/2022, de 8 de abril, de residuos y suelos contaminados para una economía circular, que, en sus artículos 11 y 12, impone la implantación de una tasa o prestación específica, diferenciada y no deficitaria, que refleje el coste real —directo e indirecto— de las operaciones de </w:t>
      </w:r>
      <w:r w:rsidRPr="00082BD7">
        <w:lastRenderedPageBreak/>
        <w:t xml:space="preserve">recogida, transporte y tratamiento, y promueva sistemas de pago por generación, con individualización suficiente para alinear incentivos con la prevención y correcta separación. </w:t>
      </w:r>
    </w:p>
    <w:p w14:paraId="5709DBAE" w14:textId="78F03B7F" w:rsidR="00082BD7" w:rsidRPr="00082BD7" w:rsidRDefault="00082BD7" w:rsidP="00082BD7">
      <w:pPr>
        <w:jc w:val="both"/>
      </w:pPr>
      <w:r w:rsidRPr="00082BD7">
        <w:t>III. Límites materiales de las tasas locales. El TRLRHL dispone que las tasas por prestación de servicios no pueden exceder, en su conjunto, del coste real o previsible del servicio y han de sustentarse en una memoria o informe técnico</w:t>
      </w:r>
      <w:r w:rsidRPr="00082BD7">
        <w:noBreakHyphen/>
        <w:t xml:space="preserve">económico que cuantifique dicho coste y justifique la estructura tarifaria y su reparto entre categorías de usuarios, de modo que exista una relación razonable entre la cuantía exigida y el servicio efectivamente prestado. La utilización de magnitudes ajenas al servicio —como el valor catastral— o de promedios zonales que diluyen el comportamiento individual contraviene la naturaleza de la tasa y su conexión causal con el coste. </w:t>
      </w:r>
    </w:p>
    <w:p w14:paraId="4592A4F1" w14:textId="33276E6C" w:rsidR="00082BD7" w:rsidRPr="00082BD7" w:rsidRDefault="00082BD7" w:rsidP="00082BD7">
      <w:pPr>
        <w:jc w:val="both"/>
      </w:pPr>
      <w:r w:rsidRPr="00082BD7">
        <w:t xml:space="preserve">IV. Proporcionalidad, igualdad y prohibición de discriminación. La adopción de cuotas fijas indiferenciadas o de coeficientes agregados por barrios/distritos, que cargan sobre residentes domésticos costes generados por actividades no domésticas, infringe los principios de proporcionalidad y de igualdad en la aplicación de los tributos, al no existir justificación objetiva y razonable vinculada a la efectiva generación de residuos del obligado. La ausencia de mecanismos de individualización razonables y de incentivos eficaces a la reducción y separación selectiva desnaturaliza la finalidad ambiental y económica de la tasa. </w:t>
      </w:r>
    </w:p>
    <w:p w14:paraId="7F2B13FB" w14:textId="0AC405AC" w:rsidR="00082BD7" w:rsidRPr="00082BD7" w:rsidRDefault="00082BD7" w:rsidP="00082BD7">
      <w:pPr>
        <w:jc w:val="both"/>
      </w:pPr>
      <w:r w:rsidRPr="00082BD7">
        <w:t xml:space="preserve">V. Motivación y transparencia. La liquidación debe estar motivada con referencia expresa a los elementos de cuantificación aplicados, su fuente y justificación, para permitir el control y la defensa del contribuyente. La falta de motivación suficiente vicia el acto y conlleva su anulabilidad. </w:t>
      </w:r>
    </w:p>
    <w:p w14:paraId="516F29AE" w14:textId="1D1A4232" w:rsidR="00082BD7" w:rsidRPr="00082BD7" w:rsidRDefault="00082BD7" w:rsidP="00082BD7">
      <w:pPr>
        <w:jc w:val="both"/>
      </w:pPr>
      <w:r w:rsidRPr="00082BD7">
        <w:t xml:space="preserve">VI. Doctrina y estándares europeos aplicables. La exigencia de que la contribución financiera no exceda del coste necesario, y de que éste se determine y comunique con transparencia, impone a la Administración local una carga de justificación que no se satisface con fórmulas opacas o agregadas que impiden verificar el ajuste al coste del servicio efectivamente prestado a cada categoría de usuarios. </w:t>
      </w:r>
    </w:p>
    <w:p w14:paraId="569CBD86" w14:textId="77777777" w:rsidR="00082BD7" w:rsidRPr="00082BD7" w:rsidRDefault="00082BD7" w:rsidP="00082BD7">
      <w:pPr>
        <w:jc w:val="both"/>
        <w:rPr>
          <w:b/>
          <w:bCs/>
        </w:rPr>
      </w:pPr>
      <w:r w:rsidRPr="00082BD7">
        <w:t xml:space="preserve">Por todo lo cual, </w:t>
      </w:r>
      <w:r w:rsidRPr="00082BD7">
        <w:rPr>
          <w:b/>
          <w:bCs/>
        </w:rPr>
        <w:t>SOLICITO</w:t>
      </w:r>
    </w:p>
    <w:p w14:paraId="1837D622" w14:textId="136A402C" w:rsidR="00082BD7" w:rsidRPr="00082BD7" w:rsidRDefault="00082BD7" w:rsidP="00082BD7">
      <w:pPr>
        <w:jc w:val="both"/>
      </w:pPr>
      <w:r w:rsidRPr="00082BD7">
        <w:rPr>
          <w:b/>
          <w:bCs/>
        </w:rPr>
        <w:t>Primero.</w:t>
      </w:r>
      <w:r w:rsidRPr="00082BD7">
        <w:t xml:space="preserve"> Que tenga por presentado este escrito, por interpuesto en tiempo y forma recurso de reposición contra la liquidación núm. </w:t>
      </w:r>
      <w:r w:rsidRPr="00F94FA6">
        <w:rPr>
          <w:b/>
          <w:bCs/>
        </w:rPr>
        <w:t>[NÚMERO]</w:t>
      </w:r>
      <w:r w:rsidRPr="00082BD7">
        <w:t xml:space="preserve">, ejercicio </w:t>
      </w:r>
      <w:r w:rsidRPr="00F94FA6">
        <w:rPr>
          <w:b/>
          <w:bCs/>
        </w:rPr>
        <w:t>[AÑO]</w:t>
      </w:r>
      <w:r w:rsidRPr="00082BD7">
        <w:t>, de la tasa por recogida y tratamiento de residuos, y, previos los trámites oportunos, dicte resolución por la que:</w:t>
      </w:r>
    </w:p>
    <w:p w14:paraId="311E9824" w14:textId="77777777" w:rsidR="00082BD7" w:rsidRPr="00082BD7" w:rsidRDefault="00082BD7" w:rsidP="00082BD7">
      <w:pPr>
        <w:jc w:val="both"/>
      </w:pPr>
      <w:r w:rsidRPr="00082BD7">
        <w:t>a) Se anule la liquidación impugnada por infracción del principio “quien contamina paga”, falta de correlación con el coste real del servicio, utilización de criterios ajenos a la efectiva generación de residuos, falta de suficiencia de la memoria técnico</w:t>
      </w:r>
      <w:r w:rsidRPr="00082BD7">
        <w:noBreakHyphen/>
        <w:t xml:space="preserve">económica y falta de motivación. </w:t>
      </w:r>
    </w:p>
    <w:p w14:paraId="7DBF62FC" w14:textId="77777777" w:rsidR="00082BD7" w:rsidRPr="00082BD7" w:rsidRDefault="00082BD7" w:rsidP="00082BD7">
      <w:pPr>
        <w:jc w:val="both"/>
      </w:pPr>
      <w:r w:rsidRPr="00082BD7">
        <w:lastRenderedPageBreak/>
        <w:t xml:space="preserve">b) Subsidiariamente, se acuerde la retroacción de actuaciones para que se emita, con plena transparencia, </w:t>
      </w:r>
      <w:proofErr w:type="gramStart"/>
      <w:r w:rsidRPr="00082BD7">
        <w:t>memoria técnico</w:t>
      </w:r>
      <w:proofErr w:type="gramEnd"/>
      <w:r w:rsidRPr="00082BD7">
        <w:noBreakHyphen/>
        <w:t xml:space="preserve">económica actualizada que desglose y acredite los costes necesarios del servicio y su adecuada imputación, y se practique nueva liquidación conforme a criterios individualizados y proporcionales a la generación efectiva de residuos, sin exceder del coste necesario. </w:t>
      </w:r>
    </w:p>
    <w:p w14:paraId="32454972" w14:textId="28882A08" w:rsidR="00082BD7" w:rsidRPr="00082BD7" w:rsidRDefault="00082BD7" w:rsidP="00082BD7">
      <w:pPr>
        <w:jc w:val="both"/>
      </w:pPr>
      <w:r w:rsidRPr="00082BD7">
        <w:t xml:space="preserve">c) </w:t>
      </w:r>
      <w:r w:rsidR="009142FD">
        <w:t>S</w:t>
      </w:r>
      <w:r w:rsidRPr="00082BD7">
        <w:t xml:space="preserve">e reconozca el derecho a la devolución de ingresos indebidos, con abono de los intereses correspondientes desde la fecha del ingreso hasta su efectiva devolución. </w:t>
      </w:r>
    </w:p>
    <w:p w14:paraId="7A37D040" w14:textId="6E2CA0D0" w:rsidR="00082BD7" w:rsidRPr="00082BD7" w:rsidRDefault="00082BD7" w:rsidP="00082BD7">
      <w:pPr>
        <w:jc w:val="both"/>
      </w:pPr>
      <w:r w:rsidRPr="00082BD7">
        <w:rPr>
          <w:b/>
          <w:bCs/>
        </w:rPr>
        <w:t>Segundo.</w:t>
      </w:r>
      <w:r w:rsidRPr="00082BD7">
        <w:t xml:space="preserve"> Que, al amparo de la normativa aplicable, se requiera al órgano gestor la puesta a disposición del expediente completo de liquidación, incluida la memoria o informe técnico</w:t>
      </w:r>
      <w:r w:rsidRPr="00082BD7">
        <w:noBreakHyphen/>
        <w:t xml:space="preserve">económico que sustente la Ordenanza y las tarifas del ejercicio impugnado, las series y fuentes de datos utilizadas para la fijación de coeficientes y los criterios de reparto de costes entre categorías de usuarios, a efectos de su examen. </w:t>
      </w:r>
    </w:p>
    <w:p w14:paraId="4A3D2966" w14:textId="77777777" w:rsidR="00082BD7" w:rsidRPr="00082BD7" w:rsidRDefault="00082BD7" w:rsidP="00082BD7">
      <w:pPr>
        <w:jc w:val="both"/>
      </w:pPr>
    </w:p>
    <w:p w14:paraId="2CAECBFB" w14:textId="3EA5069E" w:rsidR="00082BD7" w:rsidRPr="00A96803" w:rsidRDefault="00082BD7" w:rsidP="00082BD7">
      <w:pPr>
        <w:jc w:val="both"/>
        <w:rPr>
          <w:b/>
          <w:bCs/>
        </w:rPr>
      </w:pPr>
      <w:r w:rsidRPr="00082BD7">
        <w:t>E</w:t>
      </w:r>
      <w:r w:rsidR="00F94FA6">
        <w:t xml:space="preserve">n </w:t>
      </w:r>
      <w:r w:rsidR="00E16F35" w:rsidRPr="00E16F35">
        <w:rPr>
          <w:b/>
          <w:bCs/>
        </w:rPr>
        <w:t>TRES CANTOS</w:t>
      </w:r>
      <w:r w:rsidRPr="00082BD7">
        <w:t xml:space="preserve"> a</w:t>
      </w:r>
      <w:r w:rsidR="00E16F35">
        <w:t xml:space="preserve"> </w:t>
      </w:r>
      <w:r w:rsidR="00A96803">
        <w:tab/>
      </w:r>
      <w:proofErr w:type="spellStart"/>
      <w:r w:rsidR="00B13886">
        <w:t>de</w:t>
      </w:r>
      <w:proofErr w:type="spellEnd"/>
      <w:r w:rsidR="00A96803">
        <w:tab/>
      </w:r>
      <w:proofErr w:type="spellStart"/>
      <w:r w:rsidR="00B13886">
        <w:t>de</w:t>
      </w:r>
      <w:proofErr w:type="spellEnd"/>
      <w:r w:rsidR="00A96803">
        <w:tab/>
      </w:r>
      <w:r w:rsidRPr="00A96803">
        <w:rPr>
          <w:b/>
          <w:bCs/>
        </w:rPr>
        <w:t xml:space="preserve"> </w:t>
      </w:r>
    </w:p>
    <w:p w14:paraId="0F436033" w14:textId="77777777" w:rsidR="00082BD7" w:rsidRPr="00082BD7" w:rsidRDefault="00082BD7" w:rsidP="00082BD7">
      <w:pPr>
        <w:jc w:val="both"/>
      </w:pPr>
    </w:p>
    <w:p w14:paraId="3A70939E" w14:textId="77777777" w:rsidR="00466F33" w:rsidRDefault="00082BD7" w:rsidP="00082BD7">
      <w:pPr>
        <w:jc w:val="both"/>
      </w:pPr>
      <w:r w:rsidRPr="00082BD7">
        <w:t>Documentación que se acompaña:</w:t>
      </w:r>
    </w:p>
    <w:p w14:paraId="30ADD734" w14:textId="77777777" w:rsidR="00466F33" w:rsidRDefault="00082BD7" w:rsidP="00466F33">
      <w:pPr>
        <w:pStyle w:val="Prrafodelista"/>
        <w:numPr>
          <w:ilvl w:val="0"/>
          <w:numId w:val="1"/>
        </w:numPr>
        <w:jc w:val="both"/>
      </w:pPr>
      <w:r w:rsidRPr="00082BD7">
        <w:t>Copia de la liquidación notificada.</w:t>
      </w:r>
    </w:p>
    <w:p w14:paraId="4CBC6751" w14:textId="77777777" w:rsidR="00466F33" w:rsidRDefault="00466F33" w:rsidP="00466F33">
      <w:pPr>
        <w:pStyle w:val="Prrafodelista"/>
        <w:numPr>
          <w:ilvl w:val="0"/>
          <w:numId w:val="1"/>
        </w:numPr>
        <w:jc w:val="both"/>
      </w:pPr>
      <w:r>
        <w:t>Jus</w:t>
      </w:r>
      <w:r w:rsidR="00082BD7" w:rsidRPr="00082BD7">
        <w:t>tificante de ingreso.</w:t>
      </w:r>
    </w:p>
    <w:p w14:paraId="061C380A" w14:textId="77777777" w:rsidR="00466F33" w:rsidRDefault="00082BD7" w:rsidP="00466F33">
      <w:pPr>
        <w:pStyle w:val="Prrafodelista"/>
        <w:numPr>
          <w:ilvl w:val="0"/>
          <w:numId w:val="1"/>
        </w:numPr>
        <w:jc w:val="both"/>
      </w:pPr>
      <w:r w:rsidRPr="00082BD7">
        <w:t>[En su caso] Documentación acreditativa de representación.</w:t>
      </w:r>
    </w:p>
    <w:p w14:paraId="26CE4E55" w14:textId="75739585" w:rsidR="00082BD7" w:rsidRPr="00082BD7" w:rsidRDefault="00082BD7" w:rsidP="00466F33">
      <w:pPr>
        <w:pStyle w:val="Prrafodelista"/>
        <w:numPr>
          <w:ilvl w:val="0"/>
          <w:numId w:val="1"/>
        </w:numPr>
        <w:jc w:val="both"/>
      </w:pPr>
      <w:r w:rsidRPr="00082BD7">
        <w:t>[Cualesquiera otros documentos pertinentes].</w:t>
      </w:r>
    </w:p>
    <w:p w14:paraId="736B24D8" w14:textId="107F12B9" w:rsidR="002F4146" w:rsidRPr="00082BD7" w:rsidRDefault="00C526B0" w:rsidP="00082BD7">
      <w:pPr>
        <w:jc w:val="both"/>
      </w:pPr>
      <w:r w:rsidRPr="00082BD7">
        <w:t xml:space="preserve"> </w:t>
      </w:r>
    </w:p>
    <w:sectPr w:rsidR="002F4146" w:rsidRPr="00082B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168B6"/>
    <w:multiLevelType w:val="hybridMultilevel"/>
    <w:tmpl w:val="A50666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347E8"/>
    <w:multiLevelType w:val="hybridMultilevel"/>
    <w:tmpl w:val="C8002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626823">
    <w:abstractNumId w:val="0"/>
  </w:num>
  <w:num w:numId="2" w16cid:durableId="1148204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B0"/>
    <w:rsid w:val="00015BF8"/>
    <w:rsid w:val="00082BD7"/>
    <w:rsid w:val="00105CA3"/>
    <w:rsid w:val="00122781"/>
    <w:rsid w:val="00252F27"/>
    <w:rsid w:val="002F4146"/>
    <w:rsid w:val="00466F33"/>
    <w:rsid w:val="007C5A58"/>
    <w:rsid w:val="008620C2"/>
    <w:rsid w:val="009142FD"/>
    <w:rsid w:val="009773B7"/>
    <w:rsid w:val="00A03B42"/>
    <w:rsid w:val="00A73EDD"/>
    <w:rsid w:val="00A96803"/>
    <w:rsid w:val="00B13886"/>
    <w:rsid w:val="00BB6DEA"/>
    <w:rsid w:val="00BC39D5"/>
    <w:rsid w:val="00C526B0"/>
    <w:rsid w:val="00C76465"/>
    <w:rsid w:val="00DB6995"/>
    <w:rsid w:val="00DD3FB0"/>
    <w:rsid w:val="00E16F35"/>
    <w:rsid w:val="00F075C8"/>
    <w:rsid w:val="00F60DC0"/>
    <w:rsid w:val="00F704EF"/>
    <w:rsid w:val="00F9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EDF3"/>
  <w15:chartTrackingRefBased/>
  <w15:docId w15:val="{619E336F-5551-4687-8596-FA22BB7B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526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26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26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26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26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26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26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26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26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26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26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26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26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26B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26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26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26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26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26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26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26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26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26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26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526B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26B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26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26B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26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1400</Words>
  <Characters>7705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Grupo Municipal  Ganemos 3C</dc:creator>
  <cp:keywords/>
  <dc:description/>
  <cp:lastModifiedBy>ALEJANDRO HERNANDO MORCILLO</cp:lastModifiedBy>
  <cp:revision>2</cp:revision>
  <dcterms:created xsi:type="dcterms:W3CDTF">2025-12-08T14:06:00Z</dcterms:created>
  <dcterms:modified xsi:type="dcterms:W3CDTF">2025-12-08T14:06:00Z</dcterms:modified>
</cp:coreProperties>
</file>